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Абрамов, В. Ю. </w:t>
      </w:r>
      <w:r>
        <w:rPr/>
        <w:t xml:space="preserve">Гражданское процессуальное право России : учебник для вузов / В. Ю. Абрамов ; под общей редакцией Г. Ф. Ручкиной. — Москва : Издательство Юрайт, 2026. — 569 с. — (Высшее образование). — ISBN 978-5-534-20662-3.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https://urait.ru/bcode/589952</w:t>
        </w:r>
      </w:hyperlink>
    </w:p>
    <w:p>
      <w:pPr/>
      <w:r>
        <w:rPr>
          <w:i w:val="1"/>
          <w:iCs w:val="1"/>
        </w:rPr>
        <w:t xml:space="preserve">Абрамов, В. Ю. </w:t>
      </w:r>
      <w:r>
        <w:rPr/>
        <w:t xml:space="preserve">Правовая защита граждан и организаций от незаконного вмешательства в частные дела : учебник для вузов / В. Ю. Абрамов. — Москва : Издательство Юрайт, 2026. — 250 с. — (Высшее образование). — ISBN 978-5-534-21421-5.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2" TargetMode="External"/><Relationship Id="rId8" Type="http://schemas.openxmlformats.org/officeDocument/2006/relationships/hyperlink" Target="https://urait.ru/bcode/5902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2026-08-22T22:10:55+03:00</dcterms:created>
  <dcterms:modified xsi:type="dcterms:W3CDTF">2026-08-22T22:10:55+03:00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