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Балашова, Е. С. </w:t>
      </w:r>
      <w:r>
        <w:rPr/>
        <w:t xml:space="preserve">Экономика организации в судостроении : учебник для среднего профессионального образования / Е. С. Балашова, Е. Р. Счисляева. — Москва : Издательство Юрайт, 2026. — 277 с. — (Профессиональное образование). — ISBN 978-5-534-10968-9.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https://urait.ru/bcode/587134</w:t>
        </w:r>
      </w:hyperlink>
    </w:p>
    <w:p>
      <w:pPr/>
      <w:r>
        <w:rPr>
          <w:i w:val="1"/>
          <w:iCs w:val="1"/>
        </w:rPr>
        <w:t xml:space="preserve">Балашова, Е. С. </w:t>
      </w:r>
      <w:r>
        <w:rPr/>
        <w:t xml:space="preserve">Экономика судостроения : учебник для вузов / Е. С. Балашова, Е. Р. Счисляева. — Москва : Издательство Юрайт, 2026. — 277 с. — (Высшее образование). — ISBN 978-5-534-10224-6.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34" TargetMode="External"/><Relationship Id="rId8" Type="http://schemas.openxmlformats.org/officeDocument/2006/relationships/hyperlink" Target="https://urait.ru/bcode/587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2026-04-12T10:30:28+03:00</dcterms:created>
  <dcterms:modified xsi:type="dcterms:W3CDTF">2026-04-12T10:30:28+03:00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