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Бобылева, А. З. </w:t>
      </w:r>
      <w:r>
        <w:rPr/>
        <w:t xml:space="preserve">Управление оборотным капиталом : учебник для вузов / А. З. Бобылева, О. М. Пеганова ; под редакцией А. З. Бобылевой. — Москва : Издательство Юрайт, 2024. — 251 с. — (Высшее образование). — ISBN 978-5-534-17021-4.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Relationship Id="rId8" Type="http://schemas.openxmlformats.org/officeDocument/2006/relationships/hyperlink" Target="https://urait.ru/bcode/540834" TargetMode="External"/><Relationship Id="rId9" Type="http://schemas.openxmlformats.org/officeDocument/2006/relationships/hyperlink" Target="https://urait.ru/bcode/544979" TargetMode="External"/><Relationship Id="rId10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2024-05-03T19:37:41+03:00</dcterms:created>
  <dcterms:modified xsi:type="dcterms:W3CDTF">2024-05-03T19:37:41+03:00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