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Бугорский, В. П. </w:t>
      </w:r>
      <w:r>
        <w:rPr/>
        <w:t xml:space="preserve">Организация туристской индустрии. Правовые основы : учебное пособие для среднего профессионального образования / В. П. Бугорский. — Москва : Издательство Юрайт, 2024. — 165 с. — (Профессиональное образование). — ISBN 978-5-534-02282-7.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https://urait.ru/bcode/538453</w:t>
        </w:r>
      </w:hyperlink>
    </w:p>
    <w:p>
      <w:pPr/>
      <w:r>
        <w:rPr>
          <w:i w:val="1"/>
          <w:iCs w:val="1"/>
        </w:rPr>
        <w:t xml:space="preserve">Бугорский, В. П. </w:t>
      </w:r>
      <w:r>
        <w:rPr/>
        <w:t xml:space="preserve">Правовое и нормативное регулирование в индустрии гостеприимства : учебник и практикум для вузов / В. П. Бугорский. — Москва : Издательство Юрайт, 2024. — 165 с. — (Высшее образование). — ISBN 978-5-9916-9313-4.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3" TargetMode="External"/><Relationship Id="rId8" Type="http://schemas.openxmlformats.org/officeDocument/2006/relationships/hyperlink" Target="https://urait.ru/bcode/538393" TargetMode="External"/><Relationship Id="rId9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2024-05-03T06:36:17+03:00</dcterms:created>
  <dcterms:modified xsi:type="dcterms:W3CDTF">2024-05-03T06:36:17+03:00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