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Фрицлер, А. В. </w:t>
      </w:r>
      <w:r>
        <w:rPr/>
        <w:t xml:space="preserve">Основы финансовой грамотности : учебник для среднего профессионального образования / А. В. Фрицлер, Е. А. Тарханова. — 3-е изд., перераб. и доп. — Москва : Издательство Юрайт, 2025. — 123 с. — (Профессиональное образование). — ISBN 978-5-534-21869-5.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https://urait.ru/bcode/582329</w:t>
        </w:r>
      </w:hyperlink>
    </w:p>
    <w:p>
      <w:pPr/>
      <w:r>
        <w:rPr>
          <w:i w:val="1"/>
          <w:iCs w:val="1"/>
        </w:rPr>
        <w:t xml:space="preserve">Фрицлер, А. В. </w:t>
      </w:r>
      <w:r>
        <w:rPr/>
        <w:t xml:space="preserve">Персональные (личные) финансы : учебник для вузов / А. В. Фрицлер, Е. А. Тарханова. — 2-е изд. — Москва : Издательство Юрайт, 2025. — 148 с. — (Высшее образование). — ISBN 978-5-534-16795-5.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https://urait.ru/bcode/567624</w:t>
        </w:r>
      </w:hyperlink>
    </w:p>
    <w:p>
      <w:pPr/>
      <w:r>
        <w:rPr>
          <w:i w:val="1"/>
          <w:iCs w:val="1"/>
        </w:rPr>
        <w:t xml:space="preserve">Фрицлер, А. В. </w:t>
      </w:r>
      <w:r>
        <w:rPr/>
        <w:t xml:space="preserve">Финансовая грамотность: 10—11 классы : учебник для среднего общего образования / А. В. Фрицлер, Е. А. Тарханова. — 2-е изд. — Москва : Издательство Юрайт, 2025. — 139 с. — (Общеобразовательный цикл). — ISBN 978-5-534-17006-1.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9" TargetMode="External"/><Relationship Id="rId8" Type="http://schemas.openxmlformats.org/officeDocument/2006/relationships/hyperlink" Target="https://urait.ru/bcode/567624" TargetMode="External"/><Relationship Id="rId9" Type="http://schemas.openxmlformats.org/officeDocument/2006/relationships/hyperlink" Target="https://urait.ru/bcode/568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2026-01-14T18:59:29+03:00</dcterms:created>
  <dcterms:modified xsi:type="dcterms:W3CDTF">2026-01-14T18:59:29+03:00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