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Римское частное право. Основные институты в схемах : учебное пособие для вузов / И. В. Гетьман-Павлова. — 2-е изд., перераб. и доп. — Москва : Издательство Юрайт, 2024. — 175 с. — (Высшее образование). — ISBN 978-5-534-17760-2.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https://urait.ru/bcode/535601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Международный гражданский процесс : учебник для вузов / И. В. Гетьман-Павлова, А. С. Касаткина, М. А. Филатова ; под общей редакцией И. В. Гетьман-Павловой. — 2-е изд. — Москва : Издательство Юрайт, 2024. — 341 с. — (Высшее образование). — ISBN 978-5-534-13153-6.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https://urait.ru/bcode/538290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3. Материально-процессуальные и процессуальные отрасли : учебник для вузов / И. В. Гетьман-Павлова. — 6-е изд., перераб. и доп. — Москва : Издательство Юрайт, 2024. — 271 с. — (Высшее образование). — ISBN 978-5-534-14612-7.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https://urait.ru/bcode/537643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2. Особенная часть : учебник для вузов / И. В. Гетьман-Павлова. — 6-е изд., перераб. и доп. — Москва : Издательство Юрайт, 2024. — 470 с. — (Высшее образование). — ISBN 978-5-534-14611-0.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https://urait.ru/bcode/537642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 в 3 т. Том 1 общая часть : учебник для вузов / И. В. Гетьман-Павлова. — 6-е изд., перераб. и доп. — Москва : Издательство Юрайт, 2024. — 320 с. — (Высшее образование). — ISBN 978-5-534-14609-7.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https://urait.ru/bcode/537640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учебное пособие для вузов / И. В. Гетьман-Павлова. — 5-е изд., перераб. и доп. — Москва : Издательство Юрайт, 2024. — 225 с. — (Высшее образование). — ISBN 978-5-534-00873-9.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https://urait.ru/bcode/535404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частное право : учебник для вузов / И. В. Гетьман-Павлова. — 5-е изд., перераб. и доп. — Москва : Издательство Юрайт, 2024. — 489 с. — (Высшее образование). — ISBN 978-5-534-14605-9.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https://urait.ru/bcode/535515</w:t>
        </w:r>
      </w:hyperlink>
    </w:p>
    <w:p>
      <w:pPr/>
      <w:r>
        <w:rPr>
          <w:i w:val="1"/>
          <w:iCs w:val="1"/>
        </w:rPr>
        <w:t xml:space="preserve">Гетьман-Павлова, И. В. </w:t>
      </w:r>
      <w:r>
        <w:rPr/>
        <w:t xml:space="preserve">Международное право : учебник для вузов / И. В. Гетьман-Павлова, Е. В. Постникова. — 4-е изд., перераб. и доп. — Москва : Издательство Юрайт, 2024. — 590 с. — (Высшее образование). — ISBN 978-5-534-18831-8.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https://urait.ru/bcode/551768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1" TargetMode="External"/><Relationship Id="rId8" Type="http://schemas.openxmlformats.org/officeDocument/2006/relationships/hyperlink" Target="https://urait.ru/bcode/538290" TargetMode="External"/><Relationship Id="rId9" Type="http://schemas.openxmlformats.org/officeDocument/2006/relationships/hyperlink" Target="https://urait.ru/bcode/537643" TargetMode="External"/><Relationship Id="rId10" Type="http://schemas.openxmlformats.org/officeDocument/2006/relationships/hyperlink" Target="https://urait.ru/bcode/537642" TargetMode="External"/><Relationship Id="rId11" Type="http://schemas.openxmlformats.org/officeDocument/2006/relationships/hyperlink" Target="https://urait.ru/bcode/537640" TargetMode="External"/><Relationship Id="rId12" Type="http://schemas.openxmlformats.org/officeDocument/2006/relationships/hyperlink" Target="https://urait.ru/bcode/535404" TargetMode="External"/><Relationship Id="rId13" Type="http://schemas.openxmlformats.org/officeDocument/2006/relationships/hyperlink" Target="https://urait.ru/bcode/535515" TargetMode="External"/><Relationship Id="rId14" Type="http://schemas.openxmlformats.org/officeDocument/2006/relationships/hyperlink" Target="https://urait.ru/bcode/551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2024-05-19T22:52:31+03:00</dcterms:created>
  <dcterms:modified xsi:type="dcterms:W3CDTF">2024-05-19T22:52:31+03:00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