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вузов / Ф. Р. Кашапова, И. А. Кашапов, Т. Н. Фоменко. — 2-е изд., перераб. и доп. — Москва : Издательство Юрайт, 2024. — 128 с. — (Высшее образование). — ISBN 978-5-534-09499-2.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https://urait.ru/bcode/539666</w:t>
        </w:r>
      </w:hyperlink>
    </w:p>
    <w:p>
      <w:pPr/>
      <w:r>
        <w:rPr>
          <w:i w:val="1"/>
          <w:iCs w:val="1"/>
        </w:rPr>
        <w:t xml:space="preserve">Кашапова, Ф. Р. </w:t>
      </w:r>
      <w:r>
        <w:rPr/>
        <w:t xml:space="preserve">Высшая математика. Общая алгебра в задачах : учебное пособие для среднего профессионального образования / Ф. Р. Кашапова, И. А. Кашапов, Т. Н. Фоменко. — 2-е изд., перераб. и доп. — Москва : Издательство Юрайт, 2024. — 128 с. — (Профессиональное образование). — ISBN 978-5-534-11363-1.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6" TargetMode="External"/><Relationship Id="rId8" Type="http://schemas.openxmlformats.org/officeDocument/2006/relationships/hyperlink" Target="https://urait.ru/bcode/5398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2024-04-26T07:42:25+03:00</dcterms:created>
  <dcterms:modified xsi:type="dcterms:W3CDTF">2024-04-26T07:42:25+03:00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