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i w:val="1"/>
          <w:iCs w:val="1"/>
        </w:rPr>
        <w:t xml:space="preserve">Рожков, И. Я. </w:t>
      </w:r>
      <w:r>
        <w:rPr/>
        <w:t xml:space="preserve">Брендинг : учебник для вузов / И. Я. Рожков, В. Г. Кисмерешкин. — Москва : Издательство Юрайт, 2026. — 331 с. — (Высшее образование). — ISBN 978-5-534-16399-5.</w:t>
      </w:r>
      <w:r>
        <w:rPr/>
        <w:t xml:space="preserve"> — URL : </w:t>
      </w:r>
      <w:hyperlink r:id="rId7" w:history="1">
        <w:r>
          <w:rPr>
            <w:rStyle w:val="Link"/>
          </w:rPr>
          <w:t xml:space="preserve">https://urait.ru/bcode/582856</w:t>
        </w:r>
      </w:hyperlink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character">
    <w:name w:val="Link"/>
    <w:rPr>
      <w:color w:val="0000FF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urait.ru/bcode/582856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2026-09-19T21:30:05+03:00</dcterms:created>
  <dcterms:modified xsi:type="dcterms:W3CDTF">2026-09-19T21:30:05+03:00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