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валютно-кредитные и финансовые отношения : учебник для вузов / Л. Н. Красавина [и др.] ; ответственный редактор Л. Н. Красавина. — 5-е изд., перераб. и доп. — Москва : Издательство Юрайт, 2024. — 534 с. — (Высшее образование). — ISBN 978-5-534-08791-8.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https://urait.ru/bcode/535737</w:t>
        </w:r>
      </w:hyperlink>
    </w:p>
    <w:p>
      <w:pPr/>
      <w:r>
        <w:rPr>
          <w:i w:val="1"/>
          <w:iCs w:val="1"/>
        </w:rPr>
        <w:t xml:space="preserve">Оглоблина, Е. В. </w:t>
      </w:r>
      <w:r>
        <w:rPr/>
        <w:t xml:space="preserve">Международные валютно-кредитные отношения. Практикум : учебное пособие для вузов / Е. В. Оглоблина, Л. Н. Красавина ; под редакцией Л. Н. Красавиной. — Москва : Издательство Юрайт, 2024. — 299 с. — (Высшее образование). — ISBN 978-5-534-01518-8.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7" TargetMode="External"/><Relationship Id="rId8" Type="http://schemas.openxmlformats.org/officeDocument/2006/relationships/hyperlink" Target="https://urait.ru/bcode/536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2024-05-06T23:08:13+03:00</dcterms:created>
  <dcterms:modified xsi:type="dcterms:W3CDTF">2024-05-06T23:08:13+03:00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