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вузов / А. В. Золотарева, Г. М. Криницкая, А. Л. Пикина. — 2-е изд., испр. и доп. — Москва : Издательство Юрайт, 2024. — 315 с. — (Высшее образование). — ISBN 978-5-534-06274-8.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https://urait.ru/bcode/537846</w:t>
        </w:r>
      </w:hyperlink>
    </w:p>
    <w:p>
      <w:pPr/>
      <w:r>
        <w:rPr>
          <w:i w:val="1"/>
          <w:iCs w:val="1"/>
        </w:rPr>
        <w:t xml:space="preserve">Золотарева, А. В. </w:t>
      </w:r>
      <w:r>
        <w:rPr/>
        <w:t xml:space="preserve">Методика преподавания по программам дополнительного образования детей : учебник и практикум для среднего профессионального образования / А. В. Золотарева, Г. М. Криницкая, А. Л. Пикина. — 2-е изд., испр. и доп. — Москва : Издательство Юрайт, 2024. — 315 с. — (Профессиональное образование). — ISBN 978-5-534-89561-2.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6" TargetMode="External"/><Relationship Id="rId8" Type="http://schemas.openxmlformats.org/officeDocument/2006/relationships/hyperlink" Target="https://urait.ru/bcode/5380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2024-04-17T11:10:21+03:00</dcterms:created>
  <dcterms:modified xsi:type="dcterms:W3CDTF">2024-04-17T11:10:21+03:00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