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Сафонов, В. Е. </w:t>
      </w:r>
      <w:r>
        <w:rPr/>
        <w:t xml:space="preserve">Конституционное право зарубежных стран. Общая часть : учебник для вузов / В. Е. Сафонов, Е. В. Миряшева. — Москва : Издательство Юрайт, 2026. — 351 с. — (Высшее образование). — ISBN 978-5-534-01561-4.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https://urait.ru/bcode/582539</w:t>
        </w:r>
      </w:hyperlink>
    </w:p>
    <w:p>
      <w:pPr/>
      <w:r>
        <w:rPr>
          <w:i w:val="1"/>
          <w:iCs w:val="1"/>
        </w:rPr>
        <w:t xml:space="preserve">Сафонов, В. Е. </w:t>
      </w:r>
      <w:r>
        <w:rPr/>
        <w:t xml:space="preserve">Конституционное право зарубежных стран. Особенная часть : учебник для вузов / В. Е. Сафонов, Е. В. Миряшева. — Москва : Издательство Юрайт, 2025. — 422 с. — (Высшее образование). — ISBN 978-5-9916-2269-1.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39" TargetMode="External"/><Relationship Id="rId8" Type="http://schemas.openxmlformats.org/officeDocument/2006/relationships/hyperlink" Target="https://urait.ru/bcode/581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2026-07-13T11:03:22+03:00</dcterms:created>
  <dcterms:modified xsi:type="dcterms:W3CDTF">2026-07-13T11:03:22+03:00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