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Определение и основное разделение права / С. А. Муромцев. — Москва : Издательство Юрайт, 2025. — 170 с. — (Антология мысли). — ISBN 978-5-534-07311-9.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https://urait.ru/bcode/562266</w:t>
        </w:r>
      </w:hyperlink>
    </w:p>
    <w:p>
      <w:pPr/>
      <w:r>
        <w:rPr>
          <w:i w:val="1"/>
          <w:iCs w:val="1"/>
        </w:rPr>
        <w:t xml:space="preserve">Муромцев, С. А. </w:t>
      </w:r>
      <w:r>
        <w:rPr/>
        <w:t xml:space="preserve">Очерки общей теории гражданского права / С. А. Муромцев. — Москва : Издательство Юрайт, 2025. — 219 с. — (Антология мысли). — ISBN 978-5-534-10197-3.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https://urait.ru/bcode/565775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Relationship Id="rId17" Type="http://schemas.openxmlformats.org/officeDocument/2006/relationships/hyperlink" Target="https://urait.ru/bcode/562266" TargetMode="External"/><Relationship Id="rId18" Type="http://schemas.openxmlformats.org/officeDocument/2006/relationships/hyperlink" Target="https://urait.ru/bcode/565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2026-04-29T09:26:35+03:00</dcterms:created>
  <dcterms:modified xsi:type="dcterms:W3CDTF">2026-04-29T09:26:35+03:00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