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p>
      <w:pPr/>
      <w:r>
        <w:rPr>
          <w:i w:val="1"/>
          <w:iCs w:val="1"/>
        </w:rPr>
        <w:t xml:space="preserve">Пикуров, Н. И. </w:t>
      </w:r>
      <w:r>
        <w:rPr/>
        <w:t xml:space="preserve">Частная жизнь и уголовное право: поиск баланса интересов государства и личности : монография / Н. И. Пикуров. — Москва : Издательство Юрайт, 2026. — 207 с. — (Актуальные монографии). — ISBN 978-5-534-13239-7.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90563" TargetMode="External"/><Relationship Id="rId9" Type="http://schemas.openxmlformats.org/officeDocument/2006/relationships/hyperlink" Target="https://urait.ru/bcode/56459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Relationship Id="rId12" Type="http://schemas.openxmlformats.org/officeDocument/2006/relationships/hyperlink" Target="https://urait.ru/bcode/58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2026-02-10T05:27:37+03:00</dcterms:created>
  <dcterms:modified xsi:type="dcterms:W3CDTF">2026-02-10T05:27:37+03:00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