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Бозров, В. М. </w:t>
      </w:r>
      <w:r>
        <w:rPr/>
        <w:t xml:space="preserve">Судебная деятельность: этика и антикоррупционные стандарты : учебное пособие для вузов / В. М. Бозров, В. Н. Курченко, Н. В. Романенко ; под редакцией В. М. Бозрова. — Москва : Издательство Юрайт, 2024. — 198 с. — (Высшее образование). — ISBN 978-5-534-13904-4.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В. М. Бозров [и др.] ; под общей редакцией В. М. Бозрова. — Москва : Издательство Юрайт, 2024. — 104 с. — (Высшее образование). — ISBN 978-5-534-19181-3.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4" TargetMode="External"/><Relationship Id="rId8" Type="http://schemas.openxmlformats.org/officeDocument/2006/relationships/hyperlink" Target="https://urait.ru/bcode/536662" TargetMode="External"/><Relationship Id="rId9" Type="http://schemas.openxmlformats.org/officeDocument/2006/relationships/hyperlink" Target="https://urait.ru/bcode/535612" TargetMode="External"/><Relationship Id="rId10" Type="http://schemas.openxmlformats.org/officeDocument/2006/relationships/hyperlink" Target="https://urait.ru/bcode/556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2024-05-19T18:37:38+03:00</dcterms:created>
  <dcterms:modified xsi:type="dcterms:W3CDTF">2024-05-19T18:37:38+03:00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