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Ткаченко, А. В. </w:t>
      </w:r>
      <w:r>
        <w:rPr/>
        <w:t xml:space="preserve">Художественная обработка металла. Основы мастерства филиграни : учебное пособие для вузов / А. В. Ткаченко, Л. А. Ткаченко. — 2-е изд. — Москва : Издательство Юрайт, 2024. — 153 с. — (Высшее образование). — ISBN 978-5-534-14285-3.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https://urait.ru/bcode/543866</w:t>
        </w:r>
      </w:hyperlink>
    </w:p>
    <w:p>
      <w:pPr/>
      <w:r>
        <w:rPr>
          <w:i w:val="1"/>
          <w:iCs w:val="1"/>
        </w:rPr>
        <w:t xml:space="preserve">Ткаченко, А. В. </w:t>
      </w:r>
      <w:r>
        <w:rPr/>
        <w:t xml:space="preserve">Художественная керамика : учебное пособие для вузов / А. В. Ткаченко, Л. А. Ткаченко. — 2-е изд. — Москва : Издательство Юрайт, 2024. — 243 с. — (Высшее образование). — ISBN 978-5-534-11133-0.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https://urait.ru/bcode/542332</w:t>
        </w:r>
      </w:hyperlink>
    </w:p>
    <w:p>
      <w:pPr/>
      <w:r>
        <w:rPr>
          <w:i w:val="1"/>
          <w:iCs w:val="1"/>
        </w:rPr>
        <w:t xml:space="preserve">Ткаченко, А. В. </w:t>
      </w:r>
      <w:r>
        <w:rPr/>
        <w:t xml:space="preserve">Декоративно-прикладное искусство: керамика : учебное пособие для среднего профессионального образования / А. В. Ткаченко, Л. А. Ткаченко. — 2-е изд. — Москва : Издательство Юрайт, 2024. — 243 с. — (Профессиональное образование). — ISBN 978-5-534-12520-7.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66" TargetMode="External"/><Relationship Id="rId8" Type="http://schemas.openxmlformats.org/officeDocument/2006/relationships/hyperlink" Target="https://urait.ru/bcode/542332" TargetMode="External"/><Relationship Id="rId9" Type="http://schemas.openxmlformats.org/officeDocument/2006/relationships/hyperlink" Target="https://urait.ru/bcode/5412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2024-05-28T22:36:12+03:00</dcterms:created>
  <dcterms:modified xsi:type="dcterms:W3CDTF">2024-05-28T22:36:12+03:00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