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Сервантес, М. </w:t>
      </w:r>
      <w:r>
        <w:rPr/>
        <w:t xml:space="preserve">Дон Кихот Ламанчский в 2 ч. Часть 1 / М. Сервантес ; переводчик М. В. Ватсон. — Москва : Издательство Юрайт, 2024. — 507 с. — (Памятники литературы). — ISBN 978-5-534-12056-1.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https://urait.ru/bcode/543016</w:t>
        </w:r>
      </w:hyperlink>
    </w:p>
    <w:p>
      <w:pPr/>
      <w:r>
        <w:rPr>
          <w:i w:val="1"/>
          <w:iCs w:val="1"/>
        </w:rPr>
        <w:t xml:space="preserve">Сервантес, М. </w:t>
      </w:r>
      <w:r>
        <w:rPr/>
        <w:t xml:space="preserve">Дон Кихот Ламанчский в 2 ч. Часть 2 / М. Сервантес ; переводчик М. В. Ватсон. — Москва : Издательство Юрайт, 2024. — 525 с. — (Памятники литературы). — ISBN 978-5-534-12058-5.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6" TargetMode="External"/><Relationship Id="rId8" Type="http://schemas.openxmlformats.org/officeDocument/2006/relationships/hyperlink" Target="https://urait.ru/bcode/543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2024-05-05T00:53:43+03:00</dcterms:created>
  <dcterms:modified xsi:type="dcterms:W3CDTF">2024-05-05T00:53:43+03:00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