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Вёльфлин, Г. </w:t>
      </w:r>
      <w:r>
        <w:rPr/>
        <w:t xml:space="preserve">Искусство Италии и Германии эпохи Ренессанса / Г. Вёльфлин ; переводчики Л. И. Некрасова, В. В. Павлов. — Москва : Издательство Юрайт, 2025. — 181 с. — (Антология мысли). — ISBN 978-5-534-05247-3.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https://urait.ru/bcode/564456</w:t>
        </w:r>
      </w:hyperlink>
    </w:p>
    <w:p>
      <w:pPr/>
      <w:r>
        <w:rPr>
          <w:i w:val="1"/>
          <w:iCs w:val="1"/>
        </w:rPr>
        <w:t xml:space="preserve">Вёльфлин, Г. </w:t>
      </w:r>
      <w:r>
        <w:rPr/>
        <w:t xml:space="preserve">Основные понятия истории искусств / Г. Вёльфлин ; переводчик А. А. Франковский. — Москва : Издательство Юрайт, 2025. — 296 с. — (Антология мысли). — ISBN 978-5-534-05288-6.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https://urait.ru/bcode/563902</w:t>
        </w:r>
      </w:hyperlink>
    </w:p>
    <w:p>
      <w:pPr/>
      <w:r>
        <w:rPr>
          <w:i w:val="1"/>
          <w:iCs w:val="1"/>
        </w:rPr>
        <w:t xml:space="preserve">Вёльфлин, Г. </w:t>
      </w:r>
      <w:r>
        <w:rPr/>
        <w:t xml:space="preserve">Ренессанс и барокко / Г. Вёльфлин ; переводчик Е. Г. Лундберг ; под редакцией А. Л. Волынского. — Москва : Издательство Юрайт, 2025. — 169 с. — (Антология мысли). — ISBN 978-5-534-12514-6.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6" TargetMode="External"/><Relationship Id="rId8" Type="http://schemas.openxmlformats.org/officeDocument/2006/relationships/hyperlink" Target="https://urait.ru/bcode/563902" TargetMode="External"/><Relationship Id="rId9" Type="http://schemas.openxmlformats.org/officeDocument/2006/relationships/hyperlink" Target="https://urait.ru/bcode/566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2026-04-21T23:22:46+03:00</dcterms:created>
  <dcterms:modified xsi:type="dcterms:W3CDTF">2026-04-21T23:22:46+03:00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