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i w:val="1"/>
          <w:iCs w:val="1"/>
        </w:rPr>
        <w:t xml:space="preserve"/>
      </w:r>
      <w:r>
        <w:rPr/>
        <w:t xml:space="preserve">Международное право : учебник для вузов / А. Н. Вылегжанин [и др.] ; ответственный редактор А. Н. Вылегжанин. — 4-е изд., перераб. и доп. — Москва : Издательство Юрайт, 2024. — 664 с. — (Высшее образование). — ISBN 978-5-534-17784-8.</w:t>
      </w:r>
      <w:r>
        <w:rPr/>
        <w:t xml:space="preserve"> — URL : </w:t>
      </w:r>
      <w:hyperlink r:id="rId7" w:history="1">
        <w:r>
          <w:rPr>
            <w:rStyle w:val="Link"/>
          </w:rPr>
          <w:t xml:space="preserve">https://urait.ru/bcode/545093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Link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urait.ru/bcode/54509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2024-09-21T03:52:14+03:00</dcterms:created>
  <dcterms:modified xsi:type="dcterms:W3CDTF">2024-09-21T03:52:14+03:00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